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21DC1824" w:rsidR="00BB7C56" w:rsidRPr="00BB47C7" w:rsidRDefault="00D0572E" w:rsidP="00BB7C56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</w:t>
      </w:r>
      <w:r w:rsidR="00DF1A99">
        <w:rPr>
          <w:rFonts w:asciiTheme="minorHAnsi" w:hAnsiTheme="minorHAnsi" w:cs="Arial"/>
          <w:b/>
          <w:sz w:val="44"/>
          <w:szCs w:val="44"/>
        </w:rPr>
        <w:t>Á</w:t>
      </w:r>
      <w:r>
        <w:rPr>
          <w:rFonts w:asciiTheme="minorHAnsi" w:hAnsiTheme="minorHAnsi" w:cs="Arial"/>
          <w:b/>
          <w:sz w:val="44"/>
          <w:szCs w:val="44"/>
        </w:rPr>
        <w:t>VRH RÁ</w:t>
      </w:r>
      <w:bookmarkStart w:id="0" w:name="_GoBack"/>
      <w:bookmarkEnd w:id="0"/>
      <w:r>
        <w:rPr>
          <w:rFonts w:asciiTheme="minorHAnsi" w:hAnsiTheme="minorHAnsi" w:cs="Arial"/>
          <w:b/>
          <w:sz w:val="44"/>
          <w:szCs w:val="44"/>
        </w:rPr>
        <w:t>MCOVÉ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 xml:space="preserve"> </w:t>
      </w:r>
      <w:r>
        <w:rPr>
          <w:rFonts w:asciiTheme="minorHAnsi" w:hAnsiTheme="minorHAnsi" w:cs="Arial"/>
          <w:b/>
          <w:sz w:val="44"/>
          <w:szCs w:val="44"/>
        </w:rPr>
        <w:t>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6E8DDEE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5D128E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sp. zn. Pr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795665F5" w:rsidR="00BB47C7" w:rsidRPr="00D8665E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26597E">
        <w:rPr>
          <w:rFonts w:asciiTheme="minorHAnsi" w:hAnsiTheme="minorHAnsi" w:cstheme="minorHAnsi"/>
          <w:sz w:val="22"/>
          <w:szCs w:val="22"/>
        </w:rPr>
        <w:t>Bc. Petra Matějková, petra.matejkova@cnpk.cz</w:t>
      </w:r>
      <w:r w:rsidR="0026597E" w:rsidRPr="00BB47C7">
        <w:rPr>
          <w:rFonts w:asciiTheme="minorHAnsi" w:hAnsiTheme="minorHAnsi" w:cstheme="minorHAnsi"/>
          <w:sz w:val="22"/>
          <w:szCs w:val="22"/>
        </w:rPr>
        <w:tab/>
      </w:r>
    </w:p>
    <w:p w14:paraId="63162A54" w14:textId="2F9014D2" w:rsidR="00D8665E" w:rsidRPr="00D8665E" w:rsidRDefault="00D8665E" w:rsidP="00DA77F1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3DB39F6B" w14:textId="2A56F263" w:rsidR="004B2C3B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4F205E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EF7A3D7" w14:textId="0B61D9B0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F205E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6D552C05" w14:textId="57B34CFE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F205E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786AF81" w14:textId="79E9DB4F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F205E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507D317" w14:textId="64C6FD60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F205E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839CA23" w14:textId="4B148DFD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F205E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C0C5DB4" w14:textId="57E7C200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F205E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173BD0D" w14:textId="07DF22EF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F205E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8FABBA8" w14:textId="7579DA37" w:rsidR="00017482" w:rsidRPr="00D8665E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4F205E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D57834" w14:textId="0A4CFFEA" w:rsidR="00637AA9" w:rsidRPr="00B67DEE" w:rsidRDefault="00637AA9" w:rsidP="00637AA9">
      <w:pPr>
        <w:pStyle w:val="Nadpis2"/>
        <w:rPr>
          <w:b/>
        </w:rPr>
      </w:pPr>
      <w:r w:rsidRPr="00B67DEE">
        <w:t xml:space="preserve">Rámcová dohoda (dále jen „Dohoda“) je uzavřena na základě </w:t>
      </w:r>
      <w:r>
        <w:t>veřejné zakázky malého rozsahu pod názvem „</w:t>
      </w:r>
      <w:r w:rsidRPr="00416288">
        <w:rPr>
          <w:rFonts w:asciiTheme="minorHAnsi" w:hAnsiTheme="minorHAnsi" w:cstheme="minorHAnsi"/>
          <w:sz w:val="22"/>
          <w:szCs w:val="22"/>
        </w:rPr>
        <w:t xml:space="preserve">Kancelářské potřeby 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416288">
        <w:rPr>
          <w:rFonts w:asciiTheme="minorHAnsi" w:hAnsiTheme="minorHAnsi" w:cstheme="minorHAnsi"/>
          <w:sz w:val="22"/>
          <w:szCs w:val="22"/>
        </w:rPr>
        <w:t xml:space="preserve"> náhradní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416288">
        <w:rPr>
          <w:rFonts w:asciiTheme="minorHAnsi" w:hAnsiTheme="minorHAnsi" w:cstheme="minorHAnsi"/>
          <w:sz w:val="22"/>
          <w:szCs w:val="22"/>
        </w:rPr>
        <w:t xml:space="preserve"> plnění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416288">
        <w:rPr>
          <w:rFonts w:asciiTheme="minorHAnsi" w:hAnsiTheme="minorHAnsi" w:cstheme="minorHAnsi"/>
          <w:sz w:val="22"/>
          <w:szCs w:val="22"/>
        </w:rPr>
        <w:t xml:space="preserve"> pro Plzeňský kraj 202</w:t>
      </w:r>
      <w:r>
        <w:rPr>
          <w:rFonts w:asciiTheme="minorHAnsi" w:hAnsiTheme="minorHAnsi" w:cstheme="minorHAnsi"/>
          <w:sz w:val="22"/>
          <w:szCs w:val="22"/>
        </w:rPr>
        <w:t>2</w:t>
      </w:r>
      <w:r>
        <w:t>“</w:t>
      </w:r>
      <w:r w:rsidRPr="00B67DEE">
        <w:t>.</w:t>
      </w:r>
    </w:p>
    <w:p w14:paraId="14E5854A" w14:textId="628A8185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637AA9">
        <w:rPr>
          <w:rFonts w:asciiTheme="minorHAnsi" w:hAnsiTheme="minorHAnsi" w:cstheme="minorHAnsi"/>
          <w:sz w:val="22"/>
          <w:szCs w:val="22"/>
        </w:rPr>
        <w:t>optávkové</w:t>
      </w:r>
      <w:r w:rsidR="00863B18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B7C56" w:rsidRPr="00B67DEE">
        <w:rPr>
          <w:rFonts w:asciiTheme="minorHAnsi" w:hAnsiTheme="minorHAnsi" w:cstheme="minorHAnsi"/>
          <w:sz w:val="22"/>
          <w:szCs w:val="22"/>
        </w:rPr>
        <w:t>řízení 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 xml:space="preserve">organizací PK), kteří jsou </w:t>
      </w:r>
      <w:r w:rsidR="00924B94" w:rsidRPr="003E7091">
        <w:rPr>
          <w:rFonts w:asciiTheme="minorHAnsi" w:hAnsiTheme="minorHAnsi" w:cstheme="minorHAnsi"/>
          <w:sz w:val="22"/>
          <w:szCs w:val="22"/>
        </w:rPr>
        <w:t>uvedeni v </w:t>
      </w:r>
      <w:r w:rsidR="0030458D" w:rsidRPr="003E7091">
        <w:rPr>
          <w:rFonts w:asciiTheme="minorHAnsi" w:hAnsiTheme="minorHAnsi" w:cstheme="minorHAnsi"/>
          <w:sz w:val="22"/>
          <w:szCs w:val="22"/>
        </w:rPr>
        <w:t xml:space="preserve">Příloze </w:t>
      </w:r>
      <w:r w:rsidR="00924B94" w:rsidRPr="003E7091">
        <w:rPr>
          <w:rFonts w:asciiTheme="minorHAnsi" w:hAnsiTheme="minorHAnsi" w:cstheme="minorHAnsi"/>
          <w:sz w:val="22"/>
          <w:szCs w:val="22"/>
        </w:rPr>
        <w:t xml:space="preserve">č. </w:t>
      </w:r>
      <w:r w:rsidR="00637AA9" w:rsidRPr="003E7091">
        <w:rPr>
          <w:rFonts w:asciiTheme="minorHAnsi" w:hAnsiTheme="minorHAnsi" w:cstheme="minorHAnsi"/>
          <w:sz w:val="22"/>
          <w:szCs w:val="22"/>
        </w:rPr>
        <w:t>6</w:t>
      </w:r>
      <w:r w:rsidR="00924B94">
        <w:rPr>
          <w:rFonts w:asciiTheme="minorHAnsi" w:hAnsiTheme="minorHAnsi" w:cstheme="minorHAnsi"/>
          <w:sz w:val="22"/>
          <w:szCs w:val="22"/>
        </w:rPr>
        <w:t xml:space="preserve"> Výzvy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1C9DFE6D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30458D">
        <w:rPr>
          <w:rFonts w:asciiTheme="minorHAnsi" w:hAnsiTheme="minorHAnsi" w:cstheme="minorHAnsi"/>
          <w:sz w:val="22"/>
          <w:szCs w:val="22"/>
        </w:rPr>
        <w:t>D</w:t>
      </w:r>
      <w:r w:rsidR="0030458D" w:rsidRPr="0078031F">
        <w:rPr>
          <w:rFonts w:asciiTheme="minorHAnsi" w:hAnsiTheme="minorHAnsi" w:cstheme="minorHAnsi"/>
          <w:sz w:val="22"/>
          <w:szCs w:val="22"/>
        </w:rPr>
        <w:t xml:space="preserve">ohody </w:t>
      </w:r>
      <w:r w:rsidRPr="0078031F">
        <w:rPr>
          <w:rFonts w:asciiTheme="minorHAnsi" w:hAnsiTheme="minorHAnsi" w:cstheme="minorHAnsi"/>
          <w:sz w:val="22"/>
          <w:szCs w:val="22"/>
        </w:rPr>
        <w:t xml:space="preserve">jsou dodávky </w:t>
      </w:r>
      <w:r w:rsidR="00637AA9">
        <w:rPr>
          <w:rFonts w:asciiTheme="minorHAnsi" w:hAnsiTheme="minorHAnsi" w:cstheme="minorHAnsi"/>
        </w:rPr>
        <w:t>kancelářských potřeb</w:t>
      </w:r>
      <w:r w:rsidRPr="0078031F">
        <w:rPr>
          <w:rFonts w:asciiTheme="minorHAnsi" w:hAnsiTheme="minorHAnsi" w:cstheme="minorHAnsi"/>
          <w:sz w:val="22"/>
          <w:szCs w:val="22"/>
        </w:rPr>
        <w:t xml:space="preserve"> 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8031F">
        <w:rPr>
          <w:rFonts w:asciiTheme="minorHAnsi" w:hAnsiTheme="minorHAnsi" w:cstheme="minorHAnsi"/>
          <w:sz w:val="22"/>
          <w:szCs w:val="22"/>
        </w:rPr>
        <w:t>Dohoda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2C022B99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30458D">
        <w:rPr>
          <w:rFonts w:asciiTheme="minorHAnsi" w:hAnsiTheme="minorHAnsi" w:cstheme="minorHAnsi"/>
          <w:sz w:val="22"/>
          <w:szCs w:val="22"/>
        </w:rPr>
        <w:t>P</w:t>
      </w:r>
      <w:r w:rsidR="0030458D" w:rsidRPr="00B67DEE">
        <w:rPr>
          <w:rFonts w:asciiTheme="minorHAnsi" w:hAnsiTheme="minorHAnsi" w:cstheme="minorHAnsi"/>
          <w:sz w:val="22"/>
          <w:szCs w:val="22"/>
        </w:rPr>
        <w:t xml:space="preserve">říloze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č. </w:t>
      </w:r>
      <w:r w:rsidR="0031172D">
        <w:rPr>
          <w:rFonts w:asciiTheme="minorHAnsi" w:hAnsiTheme="minorHAnsi" w:cstheme="minorHAnsi"/>
          <w:sz w:val="22"/>
          <w:szCs w:val="22"/>
        </w:rPr>
        <w:t>1</w:t>
      </w:r>
      <w:r w:rsidR="00637AA9">
        <w:rPr>
          <w:rFonts w:asciiTheme="minorHAnsi" w:hAnsiTheme="minorHAnsi" w:cstheme="minorHAnsi"/>
          <w:sz w:val="22"/>
          <w:szCs w:val="22"/>
        </w:rPr>
        <w:t xml:space="preserve"> (</w:t>
      </w:r>
      <w:r w:rsidR="0031172D">
        <w:rPr>
          <w:rFonts w:asciiTheme="minorHAnsi" w:hAnsiTheme="minorHAnsi" w:cstheme="minorHAnsi"/>
          <w:sz w:val="22"/>
          <w:szCs w:val="22"/>
        </w:rPr>
        <w:t>Ocenění položek</w:t>
      </w:r>
      <w:r w:rsidR="00637AA9">
        <w:rPr>
          <w:rFonts w:asciiTheme="minorHAnsi" w:hAnsiTheme="minorHAnsi" w:cstheme="minorHAnsi"/>
          <w:sz w:val="22"/>
          <w:szCs w:val="22"/>
        </w:rPr>
        <w:t>)</w:t>
      </w:r>
      <w:r w:rsidR="00060B37">
        <w:rPr>
          <w:rFonts w:asciiTheme="minorHAnsi" w:hAnsiTheme="minorHAnsi" w:cstheme="minorHAnsi"/>
          <w:sz w:val="22"/>
          <w:szCs w:val="22"/>
        </w:rPr>
        <w:t xml:space="preserve"> </w:t>
      </w:r>
      <w:r w:rsidR="00DF1A99">
        <w:rPr>
          <w:rFonts w:asciiTheme="minorHAnsi" w:hAnsiTheme="minorHAnsi" w:cstheme="minorHAnsi"/>
          <w:sz w:val="22"/>
          <w:szCs w:val="22"/>
        </w:rPr>
        <w:t xml:space="preserve">a v příloze č. 2 (Ceník balení)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 w:rsidR="0030458D">
        <w:rPr>
          <w:rFonts w:asciiTheme="minorHAnsi" w:hAnsiTheme="minorHAnsi" w:cstheme="minorHAnsi"/>
          <w:sz w:val="22"/>
          <w:szCs w:val="22"/>
        </w:rPr>
        <w:t>D</w:t>
      </w:r>
      <w:r w:rsidR="0030458D" w:rsidRPr="00B67DEE">
        <w:rPr>
          <w:rFonts w:asciiTheme="minorHAnsi" w:hAnsiTheme="minorHAnsi" w:cstheme="minorHAnsi"/>
          <w:sz w:val="22"/>
          <w:szCs w:val="22"/>
        </w:rPr>
        <w:t xml:space="preserve">ohody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>rodávajícího</w:t>
      </w:r>
      <w:r w:rsidR="00DF1A99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383EF6B0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0D5DA80A" w14:textId="16080941" w:rsidR="0007614A" w:rsidRPr="00C462FB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 w:rsidRPr="00C462FB">
        <w:rPr>
          <w:sz w:val="22"/>
          <w:szCs w:val="22"/>
        </w:rPr>
        <w:t xml:space="preserve">Prodávající garantuje po celou dobu účinnosti této Dohody, že z celkového počtu svých zaměstnanců zaměstnává více než 50 % zaměstnanců osobami se zdravotním postižením dle § 67 zákona č. 435/2004 Sb., o zaměstnanosti. Prodávající garantuje na výrobky dle této </w:t>
      </w:r>
      <w:r w:rsidRPr="00C462FB">
        <w:rPr>
          <w:rFonts w:asciiTheme="minorHAnsi" w:hAnsiTheme="minorHAnsi"/>
          <w:sz w:val="22"/>
          <w:szCs w:val="22"/>
        </w:rPr>
        <w:t>Dohody</w:t>
      </w:r>
      <w:r w:rsidRPr="00C462FB">
        <w:rPr>
          <w:sz w:val="22"/>
          <w:szCs w:val="22"/>
        </w:rPr>
        <w:t xml:space="preserve"> 100% výši poskytovaného náhradního plnění.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0A32BF9A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060B37">
        <w:rPr>
          <w:rFonts w:asciiTheme="minorHAnsi" w:hAnsiTheme="minorHAnsi"/>
          <w:sz w:val="22"/>
          <w:szCs w:val="22"/>
        </w:rPr>
        <w:t>ena do 31. 12. 2022</w:t>
      </w:r>
      <w:r w:rsidR="00F75B13">
        <w:rPr>
          <w:rFonts w:asciiTheme="minorHAnsi" w:hAnsiTheme="minorHAnsi"/>
          <w:sz w:val="22"/>
          <w:szCs w:val="22"/>
        </w:rPr>
        <w:t>.</w:t>
      </w:r>
      <w:r w:rsidR="00060B37">
        <w:rPr>
          <w:rFonts w:asciiTheme="minorHAnsi" w:hAnsiTheme="minorHAnsi"/>
          <w:sz w:val="22"/>
          <w:szCs w:val="22"/>
        </w:rPr>
        <w:t xml:space="preserve"> Plnění bude zahájeno 1. 1. 2022</w:t>
      </w:r>
      <w:r w:rsidR="00F75B13">
        <w:rPr>
          <w:rFonts w:asciiTheme="minorHAnsi" w:hAnsiTheme="minorHAnsi"/>
          <w:sz w:val="22"/>
          <w:szCs w:val="22"/>
        </w:rPr>
        <w:t xml:space="preserve">. </w:t>
      </w:r>
    </w:p>
    <w:p w14:paraId="2FE1B852" w14:textId="3178E01A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76E54401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4F205E">
        <w:rPr>
          <w:b/>
          <w:sz w:val="22"/>
          <w:szCs w:val="22"/>
        </w:rPr>
        <w:t>3</w:t>
      </w:r>
      <w:r w:rsidR="00036F1F">
        <w:rPr>
          <w:b/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4F205E">
        <w:rPr>
          <w:b/>
          <w:sz w:val="22"/>
          <w:szCs w:val="22"/>
        </w:rPr>
        <w:t xml:space="preserve">5 </w:t>
      </w:r>
      <w:r w:rsidRPr="006E7307">
        <w:rPr>
          <w:b/>
          <w:sz w:val="22"/>
          <w:szCs w:val="22"/>
        </w:rPr>
        <w:t>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5DD9C558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506443">
        <w:rPr>
          <w:sz w:val="22"/>
          <w:szCs w:val="22"/>
        </w:rPr>
        <w:t>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506443">
        <w:rPr>
          <w:sz w:val="22"/>
          <w:szCs w:val="22"/>
        </w:rPr>
        <w:t xml:space="preserve">5.4 </w:t>
      </w:r>
      <w:r w:rsidRPr="006E7307">
        <w:rPr>
          <w:sz w:val="22"/>
          <w:szCs w:val="22"/>
        </w:rPr>
        <w:t xml:space="preserve">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e-shop</w:t>
      </w:r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e-shopu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e-shop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09BA77D4" w14:textId="77777777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Objednávka se považuje za doručenou prvním pracovním dnem následujícím po odeslání objednávky, nepotvrdí-li </w:t>
      </w:r>
      <w:r w:rsidR="00367899" w:rsidRPr="006E7307">
        <w:rPr>
          <w:sz w:val="22"/>
          <w:szCs w:val="22"/>
        </w:rPr>
        <w:t>Prodávající</w:t>
      </w:r>
      <w:r w:rsidRPr="006E7307">
        <w:rPr>
          <w:sz w:val="22"/>
          <w:szCs w:val="22"/>
        </w:rPr>
        <w:t xml:space="preserve"> doručení dříve.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7E2FF64B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311781">
        <w:rPr>
          <w:rFonts w:asciiTheme="minorHAnsi" w:hAnsiTheme="minorHAnsi"/>
          <w:sz w:val="22"/>
          <w:szCs w:val="22"/>
        </w:rPr>
        <w:t xml:space="preserve"> dle </w:t>
      </w:r>
      <w:r w:rsidR="0030458D">
        <w:rPr>
          <w:rFonts w:asciiTheme="minorHAnsi" w:hAnsiTheme="minorHAnsi"/>
          <w:sz w:val="22"/>
          <w:szCs w:val="22"/>
        </w:rPr>
        <w:t xml:space="preserve">Přílohy </w:t>
      </w:r>
      <w:r w:rsidR="00311781">
        <w:rPr>
          <w:rFonts w:asciiTheme="minorHAnsi" w:hAnsiTheme="minorHAnsi"/>
          <w:sz w:val="22"/>
          <w:szCs w:val="22"/>
        </w:rPr>
        <w:t xml:space="preserve">č. </w:t>
      </w:r>
      <w:r w:rsidR="00637AA9">
        <w:rPr>
          <w:rFonts w:asciiTheme="minorHAnsi" w:hAnsiTheme="minorHAnsi"/>
          <w:sz w:val="22"/>
          <w:szCs w:val="22"/>
        </w:rPr>
        <w:t>6</w:t>
      </w:r>
      <w:r w:rsidR="0028007E">
        <w:rPr>
          <w:rFonts w:asciiTheme="minorHAnsi" w:hAnsiTheme="minorHAnsi"/>
          <w:sz w:val="22"/>
          <w:szCs w:val="22"/>
        </w:rPr>
        <w:t xml:space="preserve"> Výzvy k podání nabídky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7CF1EF34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F73E4" w:rsidRPr="006E7307">
        <w:rPr>
          <w:rFonts w:asciiTheme="minorHAnsi" w:hAnsiTheme="minorHAnsi" w:cs="Arial"/>
          <w:sz w:val="22"/>
          <w:szCs w:val="22"/>
        </w:rPr>
        <w:t>2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512F5818" w14:textId="09AE5303" w:rsidR="00311781" w:rsidRDefault="00136272" w:rsidP="00311781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2BB80693" w14:textId="77777777" w:rsidR="0099077B" w:rsidRDefault="0099077B" w:rsidP="0099077B">
      <w:pPr>
        <w:pStyle w:val="Nadpis2"/>
        <w:spacing w:after="0"/>
        <w:rPr>
          <w:rFonts w:asciiTheme="minorHAnsi" w:hAnsiTheme="minorHAnsi" w:cs="Arial"/>
          <w:sz w:val="22"/>
          <w:szCs w:val="22"/>
        </w:rPr>
      </w:pPr>
      <w:r w:rsidRPr="007D27C2">
        <w:rPr>
          <w:rFonts w:asciiTheme="minorHAnsi" w:hAnsiTheme="minorHAnsi" w:cs="Arial"/>
          <w:sz w:val="22"/>
          <w:szCs w:val="22"/>
        </w:rPr>
        <w:t>Prodávající je povinen zajistit, aby v rámci plnění nedošlo k porušení pracovněprávních předpisů, zejména zákona č. 262/2006 Sb., zákoník práce, ve znění pozdějších předpisů, a to vůči všem osobám, které se na plnění zakázky podílejí.</w:t>
      </w:r>
    </w:p>
    <w:p w14:paraId="4DE10760" w14:textId="77777777" w:rsidR="0099077B" w:rsidRPr="00F940A1" w:rsidRDefault="0099077B" w:rsidP="0099077B">
      <w:pPr>
        <w:pStyle w:val="Nadpis2"/>
        <w:spacing w:after="0"/>
        <w:rPr>
          <w:rFonts w:asciiTheme="minorHAnsi" w:hAnsiTheme="minorHAnsi" w:cs="Arial"/>
          <w:sz w:val="22"/>
          <w:szCs w:val="22"/>
        </w:rPr>
      </w:pPr>
      <w:r w:rsidRPr="00F940A1">
        <w:rPr>
          <w:sz w:val="22"/>
          <w:szCs w:val="22"/>
        </w:rPr>
        <w:t>Prodávající je povinen zajistit, aby všechny výrobky a jejich obalové materiály byly ručně snadno rozebratelné na recyklovatelné části, tvořené jedním materiálem (např. lepenka, papír, plast atd.)</w:t>
      </w:r>
      <w:r w:rsidRPr="00F940A1">
        <w:rPr>
          <w:rFonts w:asciiTheme="minorHAnsi" w:hAnsiTheme="minorHAnsi" w:cs="Arial"/>
          <w:sz w:val="22"/>
          <w:szCs w:val="22"/>
        </w:rPr>
        <w:t>.</w:t>
      </w:r>
    </w:p>
    <w:p w14:paraId="55EE2C18" w14:textId="77777777" w:rsidR="0099077B" w:rsidRPr="0099077B" w:rsidRDefault="0099077B" w:rsidP="0099077B"/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64595326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</w:t>
      </w:r>
      <w:r w:rsidR="008347FF">
        <w:rPr>
          <w:rFonts w:asciiTheme="minorHAnsi" w:hAnsiTheme="minorHAnsi"/>
          <w:sz w:val="22"/>
          <w:szCs w:val="22"/>
        </w:rPr>
        <w:t>P</w:t>
      </w:r>
      <w:r w:rsidR="008347FF" w:rsidRPr="006E7307">
        <w:rPr>
          <w:rFonts w:asciiTheme="minorHAnsi" w:hAnsiTheme="minorHAnsi"/>
          <w:sz w:val="22"/>
          <w:szCs w:val="22"/>
        </w:rPr>
        <w:t xml:space="preserve">říloze </w:t>
      </w:r>
      <w:r w:rsidR="002E18AF" w:rsidRPr="006E7307">
        <w:rPr>
          <w:rFonts w:asciiTheme="minorHAnsi" w:hAnsiTheme="minorHAnsi"/>
          <w:sz w:val="22"/>
          <w:szCs w:val="22"/>
        </w:rPr>
        <w:t xml:space="preserve">č. </w:t>
      </w:r>
      <w:r w:rsidR="00637AA9">
        <w:rPr>
          <w:rFonts w:asciiTheme="minorHAnsi" w:hAnsiTheme="minorHAnsi"/>
          <w:sz w:val="22"/>
          <w:szCs w:val="22"/>
        </w:rPr>
        <w:t>1</w:t>
      </w:r>
      <w:r w:rsidR="002E18AF" w:rsidRPr="006E7307">
        <w:rPr>
          <w:rFonts w:asciiTheme="minorHAnsi" w:hAnsiTheme="minorHAnsi"/>
          <w:sz w:val="22"/>
          <w:szCs w:val="22"/>
        </w:rPr>
        <w:t xml:space="preserve"> 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653BB5B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4BB753C8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</w:t>
      </w:r>
      <w:r w:rsidR="00637AA9">
        <w:rPr>
          <w:rFonts w:asciiTheme="minorHAnsi" w:hAnsiTheme="minorHAnsi"/>
          <w:sz w:val="22"/>
          <w:szCs w:val="22"/>
        </w:rPr>
        <w:t xml:space="preserve"> </w:t>
      </w:r>
      <w:r w:rsidR="00637AA9" w:rsidRPr="00637AA9">
        <w:rPr>
          <w:rFonts w:asciiTheme="minorHAnsi" w:hAnsiTheme="minorHAnsi"/>
          <w:b/>
          <w:sz w:val="22"/>
          <w:szCs w:val="22"/>
        </w:rPr>
        <w:t>1</w:t>
      </w:r>
      <w:r w:rsidR="00506443">
        <w:rPr>
          <w:rFonts w:asciiTheme="minorHAnsi" w:hAnsiTheme="minorHAnsi"/>
          <w:b/>
          <w:sz w:val="22"/>
          <w:szCs w:val="22"/>
        </w:rPr>
        <w:t> 000 000</w:t>
      </w:r>
      <w:r w:rsidR="00637AA9" w:rsidRPr="00637AA9">
        <w:rPr>
          <w:rFonts w:asciiTheme="minorHAnsi" w:hAnsiTheme="minorHAnsi"/>
          <w:b/>
          <w:sz w:val="22"/>
          <w:szCs w:val="22"/>
        </w:rPr>
        <w:t>,-</w:t>
      </w:r>
      <w:r w:rsidRPr="00637AA9">
        <w:rPr>
          <w:rFonts w:asciiTheme="minorHAnsi" w:hAnsiTheme="minorHAnsi"/>
          <w:b/>
          <w:sz w:val="22"/>
          <w:szCs w:val="22"/>
        </w:rPr>
        <w:t xml:space="preserve"> Kč</w:t>
      </w:r>
      <w:r w:rsidRPr="006E7307">
        <w:rPr>
          <w:rFonts w:asciiTheme="minorHAnsi" w:hAnsiTheme="minorHAnsi"/>
          <w:b/>
          <w:sz w:val="22"/>
          <w:szCs w:val="22"/>
        </w:rPr>
        <w:t xml:space="preserve"> bez DPH </w:t>
      </w:r>
      <w:r w:rsidRPr="006E7307">
        <w:rPr>
          <w:rFonts w:asciiTheme="minorHAnsi" w:hAnsiTheme="minorHAnsi"/>
          <w:sz w:val="22"/>
          <w:szCs w:val="22"/>
        </w:rPr>
        <w:t xml:space="preserve">(slovy: </w:t>
      </w:r>
      <w:r w:rsidR="004F205E">
        <w:rPr>
          <w:rFonts w:asciiTheme="minorHAnsi" w:hAnsiTheme="minorHAnsi"/>
          <w:sz w:val="22"/>
          <w:szCs w:val="22"/>
        </w:rPr>
        <w:t>jedenmilion</w:t>
      </w:r>
      <w:r w:rsidR="004F205E" w:rsidRPr="006E7307">
        <w:rPr>
          <w:rFonts w:asciiTheme="minorHAnsi" w:hAnsiTheme="minorHAnsi"/>
          <w:sz w:val="22"/>
          <w:szCs w:val="22"/>
        </w:rPr>
        <w:t xml:space="preserve"> korun českých</w:t>
      </w:r>
      <w:r w:rsidR="004F205E">
        <w:rPr>
          <w:rFonts w:asciiTheme="minorHAnsi" w:hAnsiTheme="minorHAnsi"/>
          <w:sz w:val="22"/>
          <w:szCs w:val="22"/>
        </w:rPr>
        <w:t>).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lastRenderedPageBreak/>
        <w:t xml:space="preserve">PLATEBNÍ PODMÍNKY </w:t>
      </w:r>
    </w:p>
    <w:p w14:paraId="40148D5B" w14:textId="5D70A17B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7349EA30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261F3FB6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>této Dohody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P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589B5BFB" w14:textId="4D481285" w:rsidR="00DC17E7" w:rsidRDefault="00DC17E7" w:rsidP="00C96FCA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pokud prodávající předložil v nabídce na výše uvedenou VZ údaje či dokumenty, které neodpovídaly skutečnosti a mohly mít vliv na výběr </w:t>
      </w:r>
      <w:r w:rsidR="0099077B">
        <w:rPr>
          <w:rFonts w:asciiTheme="minorHAnsi" w:hAnsiTheme="minorHAnsi" w:cstheme="minorHAnsi"/>
          <w:sz w:val="22"/>
          <w:szCs w:val="22"/>
        </w:rPr>
        <w:t>dodavatele, nebo</w:t>
      </w:r>
    </w:p>
    <w:p w14:paraId="4022B91D" w14:textId="3937B995" w:rsidR="0099077B" w:rsidRPr="0099077B" w:rsidRDefault="0099077B" w:rsidP="0099077B">
      <w:pPr>
        <w:pStyle w:val="Nadpis3"/>
        <w:rPr>
          <w:sz w:val="22"/>
          <w:szCs w:val="22"/>
        </w:rPr>
      </w:pPr>
      <w:r w:rsidRPr="0099077B">
        <w:rPr>
          <w:sz w:val="22"/>
          <w:szCs w:val="22"/>
        </w:rPr>
        <w:t xml:space="preserve">pokud kupující zjistí, že v rámci plnění došlo k porušení pracovněprávních předpisů, zejména </w:t>
      </w:r>
      <w:r w:rsidR="00E9039B" w:rsidRPr="0099077B">
        <w:rPr>
          <w:sz w:val="22"/>
          <w:szCs w:val="22"/>
        </w:rPr>
        <w:t>zákona č.</w:t>
      </w:r>
      <w:r w:rsidRPr="0099077B">
        <w:rPr>
          <w:sz w:val="22"/>
          <w:szCs w:val="22"/>
        </w:rPr>
        <w:t xml:space="preserve"> 262/2006 Sb., zákoník práce, ve znění pozdějších předpisů, a prodávající neučinil žádné kroky k nápravě.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lastRenderedPageBreak/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235F816F" w14:textId="77777777" w:rsidR="007F74DF" w:rsidRDefault="006C0B8B" w:rsidP="007F74D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V případě, že dodané zboží nebude splňovat 100% uznatelnost náhradního plněn</w:t>
      </w:r>
      <w:r w:rsidR="00875948">
        <w:rPr>
          <w:sz w:val="22"/>
          <w:szCs w:val="22"/>
        </w:rPr>
        <w:t>í dle zákona č. 435/2004 </w:t>
      </w:r>
      <w:r w:rsidR="000B43DC" w:rsidRPr="006E7307">
        <w:rPr>
          <w:sz w:val="22"/>
          <w:szCs w:val="22"/>
        </w:rPr>
        <w:t>Sb., o </w:t>
      </w:r>
      <w:r w:rsidRPr="006E7307">
        <w:rPr>
          <w:sz w:val="22"/>
          <w:szCs w:val="22"/>
        </w:rPr>
        <w:t>zaměstnanosti, v</w:t>
      </w:r>
      <w:r w:rsidR="0007614A">
        <w:rPr>
          <w:sz w:val="22"/>
          <w:szCs w:val="22"/>
        </w:rPr>
        <w:t xml:space="preserve"> platném znění, je prodávající </w:t>
      </w:r>
      <w:r w:rsidRPr="006E7307">
        <w:rPr>
          <w:sz w:val="22"/>
          <w:szCs w:val="22"/>
        </w:rPr>
        <w:t>povinen zaplatit smluvní pokutu ve výši 100</w:t>
      </w:r>
      <w:r w:rsidR="00875948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>% z hodnoty dodaného zboží vč. DPH, které tuto podmínku uznatelnosti náhradního plnění nebude splňovat.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143AB01C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 xml:space="preserve">ohoda nabývá platnosti dnem podpisu obou smluvních stran a účinnosti uveřejněním </w:t>
      </w:r>
      <w:r w:rsidR="0007614A">
        <w:rPr>
          <w:rFonts w:asciiTheme="minorHAnsi" w:hAnsiTheme="minorHAnsi"/>
          <w:sz w:val="22"/>
          <w:szCs w:val="22"/>
        </w:rPr>
        <w:t>v r</w:t>
      </w:r>
      <w:r w:rsidRPr="00F75B13">
        <w:rPr>
          <w:rFonts w:asciiTheme="minorHAnsi" w:hAnsiTheme="minorHAnsi"/>
          <w:sz w:val="22"/>
          <w:szCs w:val="22"/>
        </w:rPr>
        <w:t>egistru smluv.</w:t>
      </w:r>
    </w:p>
    <w:p w14:paraId="76BA1CA6" w14:textId="267D8E3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Dohody v registru smluv, které zajistí kupující nejpozději do 15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3ACF9FE1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7404BAE1" w14:textId="6AAB22FB" w:rsidR="00332BAA" w:rsidRPr="006E7307" w:rsidRDefault="00332BAA" w:rsidP="00DA77F1">
      <w:pPr>
        <w:spacing w:before="240"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lastRenderedPageBreak/>
        <w:t>Přílohy:</w:t>
      </w:r>
    </w:p>
    <w:p w14:paraId="33C3676A" w14:textId="4D961C6B" w:rsidR="00637AA9" w:rsidRPr="006E7307" w:rsidRDefault="00110E67" w:rsidP="00655355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Ocenění položek</w:t>
      </w:r>
    </w:p>
    <w:p w14:paraId="75B8F7BB" w14:textId="77777777" w:rsidR="00637AA9" w:rsidRPr="00522C37" w:rsidRDefault="00637AA9" w:rsidP="00637AA9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Ceník balení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959"/>
      </w:tblGrid>
      <w:tr w:rsidR="002142D6" w:rsidRPr="006E7307" w14:paraId="3B483708" w14:textId="77777777" w:rsidTr="004F205E">
        <w:tc>
          <w:tcPr>
            <w:tcW w:w="5245" w:type="dxa"/>
          </w:tcPr>
          <w:p w14:paraId="3A33C916" w14:textId="5EAC06BB" w:rsidR="002142D6" w:rsidRPr="006E7307" w:rsidRDefault="00DD071D" w:rsidP="00DA77F1">
            <w:pPr>
              <w:spacing w:before="72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959" w:type="dxa"/>
          </w:tcPr>
          <w:p w14:paraId="6FB62F79" w14:textId="1BF01A4E" w:rsidR="002142D6" w:rsidRPr="006E7307" w:rsidRDefault="002351A2" w:rsidP="00DA77F1">
            <w:pPr>
              <w:spacing w:before="48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4F205E">
        <w:tc>
          <w:tcPr>
            <w:tcW w:w="5245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959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4F205E">
        <w:tc>
          <w:tcPr>
            <w:tcW w:w="5245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959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4F205E">
        <w:tc>
          <w:tcPr>
            <w:tcW w:w="5245" w:type="dxa"/>
          </w:tcPr>
          <w:p w14:paraId="6ADECDF0" w14:textId="77777777" w:rsidR="002142D6" w:rsidRPr="00211C28" w:rsidRDefault="006E7307" w:rsidP="002351A2">
            <w:pPr>
              <w:tabs>
                <w:tab w:val="left" w:pos="2325"/>
                <w:tab w:val="center" w:pos="2427"/>
              </w:tabs>
              <w:spacing w:before="960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959" w:type="dxa"/>
          </w:tcPr>
          <w:p w14:paraId="008F63BB" w14:textId="77777777" w:rsidR="002142D6" w:rsidRPr="004F205E" w:rsidRDefault="00971F5D" w:rsidP="002351A2">
            <w:pPr>
              <w:spacing w:before="960"/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4F205E"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  <w:t>/jméno a příjmení/</w:t>
            </w:r>
            <w:r w:rsidR="00B63D77" w:rsidRPr="004F205E"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4F205E">
        <w:tc>
          <w:tcPr>
            <w:tcW w:w="5245" w:type="dxa"/>
          </w:tcPr>
          <w:p w14:paraId="2E93779C" w14:textId="18AF677D" w:rsidR="004B2C3B" w:rsidRPr="00211C28" w:rsidRDefault="000908A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A607A91" w14:textId="79028ED2" w:rsidR="00EF4BD5" w:rsidRPr="00211C28" w:rsidRDefault="004B2C3B" w:rsidP="002351A2">
            <w:pPr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</w:t>
            </w:r>
            <w:r w:rsidR="00036F1F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Plzeňského kraje</w:t>
            </w: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, příspěvková organizace</w:t>
            </w:r>
          </w:p>
        </w:tc>
        <w:tc>
          <w:tcPr>
            <w:tcW w:w="4959" w:type="dxa"/>
          </w:tcPr>
          <w:p w14:paraId="124AFB89" w14:textId="77777777" w:rsidR="004B2C3B" w:rsidRPr="004F205E" w:rsidRDefault="00971F5D" w:rsidP="002351A2">
            <w:pPr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</w:pPr>
            <w:r w:rsidRPr="004F205E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4F205E" w:rsidRDefault="00971F5D" w:rsidP="002351A2">
            <w:pPr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</w:pPr>
            <w:r w:rsidRPr="004F205E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/název poskytovatele</w:t>
            </w:r>
            <w:r w:rsidR="0009465D" w:rsidRPr="004F205E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DA77F1">
      <w:pPr>
        <w:spacing w:line="276" w:lineRule="auto"/>
        <w:ind w:left="360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21211D">
      <w:rPr>
        <w:rFonts w:asciiTheme="minorHAnsi" w:hAnsiTheme="minorHAnsi" w:cstheme="minorHAnsi"/>
        <w:noProof/>
        <w:sz w:val="20"/>
        <w:szCs w:val="20"/>
      </w:rPr>
      <w:t>2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21211D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2ADB78E4" w:rsidR="005A5701" w:rsidRDefault="0021211D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3A3EFE">
      <w:rPr>
        <w:noProof/>
      </w:rPr>
      <w:drawing>
        <wp:anchor distT="0" distB="0" distL="114300" distR="114300" simplePos="0" relativeHeight="251659264" behindDoc="1" locked="0" layoutInCell="1" allowOverlap="1" wp14:anchorId="40B99F97" wp14:editId="78AE0DAB">
          <wp:simplePos x="0" y="0"/>
          <wp:positionH relativeFrom="column">
            <wp:posOffset>-225631</wp:posOffset>
          </wp:positionH>
          <wp:positionV relativeFrom="paragraph">
            <wp:posOffset>-487523</wp:posOffset>
          </wp:positionV>
          <wp:extent cx="1905000" cy="1190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701"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637AA9">
      <w:rPr>
        <w:rFonts w:asciiTheme="minorHAnsi" w:hAnsiTheme="minorHAnsi" w:cstheme="minorHAnsi"/>
        <w:color w:val="808080" w:themeColor="background1" w:themeShade="80"/>
        <w:sz w:val="20"/>
      </w:rPr>
      <w:t>3</w:t>
    </w:r>
    <w:r w:rsidR="005A5701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  <w:p w14:paraId="3E2052A7" w14:textId="77777777" w:rsidR="00637AA9" w:rsidRPr="00BB47C7" w:rsidRDefault="00637AA9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36F1F"/>
    <w:rsid w:val="00046137"/>
    <w:rsid w:val="00047EDE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60A8"/>
    <w:rsid w:val="000F73E4"/>
    <w:rsid w:val="00110E67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211D"/>
    <w:rsid w:val="002142D6"/>
    <w:rsid w:val="00227BE5"/>
    <w:rsid w:val="0023516D"/>
    <w:rsid w:val="002351A2"/>
    <w:rsid w:val="00264DC2"/>
    <w:rsid w:val="0026597E"/>
    <w:rsid w:val="00275B83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458D"/>
    <w:rsid w:val="0030594C"/>
    <w:rsid w:val="00310511"/>
    <w:rsid w:val="0031172D"/>
    <w:rsid w:val="00311781"/>
    <w:rsid w:val="00332BAA"/>
    <w:rsid w:val="003449D5"/>
    <w:rsid w:val="00347BCF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E7091"/>
    <w:rsid w:val="003F4098"/>
    <w:rsid w:val="003F7EE7"/>
    <w:rsid w:val="00412811"/>
    <w:rsid w:val="004132B3"/>
    <w:rsid w:val="004140DC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83D14"/>
    <w:rsid w:val="0049002D"/>
    <w:rsid w:val="00492519"/>
    <w:rsid w:val="004A0F50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205E"/>
    <w:rsid w:val="004F66ED"/>
    <w:rsid w:val="00504FEE"/>
    <w:rsid w:val="00506443"/>
    <w:rsid w:val="00511A03"/>
    <w:rsid w:val="005138A1"/>
    <w:rsid w:val="00515ED9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D128E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37AA9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60CDF"/>
    <w:rsid w:val="00770982"/>
    <w:rsid w:val="007728D3"/>
    <w:rsid w:val="00773519"/>
    <w:rsid w:val="0078031F"/>
    <w:rsid w:val="00790AA4"/>
    <w:rsid w:val="007926CF"/>
    <w:rsid w:val="007A075D"/>
    <w:rsid w:val="007B3BE1"/>
    <w:rsid w:val="007B44B4"/>
    <w:rsid w:val="007B5C7F"/>
    <w:rsid w:val="007C0B7E"/>
    <w:rsid w:val="007D2E36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761D"/>
    <w:rsid w:val="00827E1A"/>
    <w:rsid w:val="008347FF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51AFF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077B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16C8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462FB"/>
    <w:rsid w:val="00C52D3B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572E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D071D"/>
    <w:rsid w:val="00DD4DB8"/>
    <w:rsid w:val="00DE244E"/>
    <w:rsid w:val="00DE56B6"/>
    <w:rsid w:val="00DF1A99"/>
    <w:rsid w:val="00DF20E9"/>
    <w:rsid w:val="00E16B7F"/>
    <w:rsid w:val="00E20716"/>
    <w:rsid w:val="00E2324C"/>
    <w:rsid w:val="00E34F77"/>
    <w:rsid w:val="00E4174E"/>
    <w:rsid w:val="00E534C9"/>
    <w:rsid w:val="00E551DC"/>
    <w:rsid w:val="00E62313"/>
    <w:rsid w:val="00E75303"/>
    <w:rsid w:val="00E86BDA"/>
    <w:rsid w:val="00E9039B"/>
    <w:rsid w:val="00E91883"/>
    <w:rsid w:val="00E93EB2"/>
    <w:rsid w:val="00EA06A7"/>
    <w:rsid w:val="00EC51B6"/>
    <w:rsid w:val="00EC688E"/>
    <w:rsid w:val="00ED2516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ind w:left="1276" w:hanging="709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  <w:style w:type="paragraph" w:styleId="Bezmezer">
    <w:name w:val="No Spacing"/>
    <w:aliases w:val="Zvýrazněný bez mezer"/>
    <w:uiPriority w:val="1"/>
    <w:qFormat/>
    <w:rsid w:val="003E709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5F120-695B-43EF-875F-009AD20B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172</TotalTime>
  <Pages>6</Pages>
  <Words>1904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13112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Jan Kronďák</cp:lastModifiedBy>
  <cp:revision>25</cp:revision>
  <cp:lastPrinted>2011-09-13T09:01:00Z</cp:lastPrinted>
  <dcterms:created xsi:type="dcterms:W3CDTF">2020-07-17T06:20:00Z</dcterms:created>
  <dcterms:modified xsi:type="dcterms:W3CDTF">2021-09-15T09:47:00Z</dcterms:modified>
</cp:coreProperties>
</file>